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2017年</w:t>
      </w:r>
      <w:r>
        <w:rPr>
          <w:rFonts w:hint="eastAsia" w:ascii="方正小标宋简体" w:hAnsi="宋体" w:eastAsia="方正小标宋简体"/>
          <w:b/>
          <w:sz w:val="44"/>
          <w:szCs w:val="44"/>
          <w:lang w:val="en-US" w:eastAsia="zh-CN"/>
        </w:rPr>
        <w:t>开</w:t>
      </w:r>
      <w:r>
        <w:rPr>
          <w:rFonts w:hint="eastAsia" w:ascii="方正小标宋简体" w:hAnsi="宋体" w:eastAsia="方正小标宋简体"/>
          <w:b/>
          <w:sz w:val="44"/>
          <w:szCs w:val="44"/>
        </w:rPr>
        <w:t>平市农业综合体建设项目</w:t>
      </w:r>
    </w:p>
    <w:p>
      <w:pPr>
        <w:spacing w:line="54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申报指南</w:t>
      </w:r>
    </w:p>
    <w:p>
      <w:pPr>
        <w:jc w:val="center"/>
        <w:rPr>
          <w:rFonts w:ascii="方正小标宋简体" w:hAnsi="宋体" w:eastAsia="方正小标宋简体"/>
          <w:b/>
          <w:sz w:val="44"/>
          <w:szCs w:val="44"/>
        </w:rPr>
      </w:pPr>
    </w:p>
    <w:p>
      <w:pPr>
        <w:pStyle w:val="6"/>
        <w:numPr>
          <w:ilvl w:val="0"/>
          <w:numId w:val="1"/>
        </w:numPr>
        <w:spacing w:line="360" w:lineRule="auto"/>
        <w:ind w:firstLineChars="0"/>
        <w:rPr>
          <w:rFonts w:ascii="黑体" w:eastAsia="黑体"/>
          <w:b/>
          <w:sz w:val="32"/>
          <w:szCs w:val="32"/>
        </w:rPr>
      </w:pPr>
      <w:r>
        <w:rPr>
          <w:rFonts w:hint="eastAsia" w:ascii="黑体" w:eastAsia="黑体"/>
          <w:b/>
          <w:sz w:val="32"/>
          <w:szCs w:val="32"/>
        </w:rPr>
        <w:t>申报对象</w:t>
      </w:r>
    </w:p>
    <w:p>
      <w:pPr>
        <w:spacing w:line="360" w:lineRule="auto"/>
        <w:ind w:firstLine="640" w:firstLineChars="200"/>
        <w:jc w:val="left"/>
        <w:rPr>
          <w:rFonts w:ascii="黑体" w:eastAsia="黑体"/>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开</w:t>
      </w:r>
      <w:r>
        <w:rPr>
          <w:rFonts w:hint="eastAsia" w:ascii="仿宋_GB2312" w:hAnsi="仿宋_GB2312" w:eastAsia="仿宋_GB2312" w:cs="仿宋_GB2312"/>
          <w:sz w:val="32"/>
          <w:szCs w:val="32"/>
        </w:rPr>
        <w:t>平市内注册登记的新型农业经营主体。</w:t>
      </w:r>
    </w:p>
    <w:p>
      <w:pPr>
        <w:pStyle w:val="7"/>
        <w:numPr>
          <w:ilvl w:val="0"/>
          <w:numId w:val="1"/>
        </w:numPr>
        <w:spacing w:line="360" w:lineRule="auto"/>
        <w:ind w:firstLineChars="0"/>
        <w:rPr>
          <w:rFonts w:ascii="黑体" w:eastAsia="黑体"/>
          <w:b/>
          <w:sz w:val="32"/>
          <w:szCs w:val="32"/>
        </w:rPr>
      </w:pPr>
      <w:r>
        <w:rPr>
          <w:rFonts w:hint="eastAsia" w:ascii="黑体" w:eastAsia="黑体"/>
          <w:b/>
          <w:sz w:val="32"/>
          <w:szCs w:val="32"/>
        </w:rPr>
        <w:t>申报条件</w:t>
      </w:r>
    </w:p>
    <w:p>
      <w:pPr>
        <w:spacing w:line="360" w:lineRule="auto"/>
        <w:ind w:firstLine="480" w:firstLineChars="15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.申报主体</w:t>
      </w:r>
      <w:r>
        <w:rPr>
          <w:rFonts w:ascii="仿宋_GB2312" w:eastAsia="仿宋_GB2312"/>
          <w:sz w:val="32"/>
          <w:szCs w:val="32"/>
        </w:rPr>
        <w:t>必须具有独立法人资格；</w:t>
      </w:r>
    </w:p>
    <w:p>
      <w:pPr>
        <w:spacing w:line="360" w:lineRule="auto"/>
        <w:ind w:firstLine="480" w:firstLineChars="15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.申报主体</w:t>
      </w:r>
      <w:r>
        <w:rPr>
          <w:rFonts w:ascii="仿宋_GB2312" w:eastAsia="仿宋_GB2312"/>
          <w:sz w:val="32"/>
          <w:szCs w:val="32"/>
        </w:rPr>
        <w:t>必须以农业为基础产业，核心区规划面积不小于</w:t>
      </w:r>
      <w:r>
        <w:rPr>
          <w:rFonts w:hint="eastAsia" w:ascii="仿宋_GB2312" w:eastAsia="仿宋_GB2312"/>
          <w:sz w:val="32"/>
          <w:szCs w:val="32"/>
          <w:lang w:val="en-US" w:eastAsia="zh-CN"/>
        </w:rPr>
        <w:t>2</w:t>
      </w:r>
      <w:r>
        <w:rPr>
          <w:rFonts w:ascii="仿宋_GB2312" w:eastAsia="仿宋_GB2312"/>
          <w:sz w:val="32"/>
          <w:szCs w:val="32"/>
        </w:rPr>
        <w:t>00亩；</w:t>
      </w:r>
    </w:p>
    <w:p>
      <w:pPr>
        <w:spacing w:line="360" w:lineRule="auto"/>
        <w:ind w:left="479" w:leftChars="228"/>
        <w:rPr>
          <w:rFonts w:hint="eastAsia" w:asciiTheme="majorEastAsia" w:hAnsiTheme="majorEastAsia" w:eastAsiaTheme="majorEastAsia" w:cstheme="majorEastAsia"/>
          <w:color w:val="494949"/>
          <w:kern w:val="0"/>
          <w:sz w:val="32"/>
          <w:szCs w:val="32"/>
          <w:shd w:val="clear" w:fill="FFFFFF"/>
          <w:lang w:val="en-US" w:eastAsia="zh-CN" w:bidi="ar"/>
        </w:rPr>
      </w:pPr>
      <w:r>
        <w:rPr>
          <w:rFonts w:ascii="仿宋_GB2312" w:eastAsia="仿宋_GB2312"/>
          <w:sz w:val="32"/>
          <w:szCs w:val="32"/>
        </w:rPr>
        <w:t>3</w:t>
      </w:r>
      <w:r>
        <w:rPr>
          <w:rFonts w:hint="eastAsia" w:ascii="仿宋_GB2312" w:eastAsia="仿宋_GB2312"/>
          <w:sz w:val="32"/>
          <w:szCs w:val="32"/>
        </w:rPr>
        <w:t>.申报主体</w:t>
      </w:r>
      <w:r>
        <w:rPr>
          <w:rFonts w:ascii="仿宋_GB2312" w:eastAsia="仿宋_GB2312"/>
          <w:sz w:val="32"/>
          <w:szCs w:val="32"/>
        </w:rPr>
        <w:t>必须</w:t>
      </w:r>
      <w:r>
        <w:rPr>
          <w:rFonts w:hint="eastAsia" w:ascii="仿宋_GB2312" w:eastAsia="仿宋_GB2312"/>
          <w:sz w:val="32"/>
          <w:szCs w:val="32"/>
        </w:rPr>
        <w:t>同时融合一、二、三产</w:t>
      </w:r>
      <w:r>
        <w:rPr>
          <w:rFonts w:ascii="仿宋_GB2312" w:eastAsia="仿宋_GB2312"/>
          <w:sz w:val="32"/>
          <w:szCs w:val="32"/>
        </w:rPr>
        <w:t>功能，建设布局</w:t>
      </w:r>
      <w:r>
        <w:rPr>
          <w:rFonts w:hint="eastAsia" w:ascii="仿宋_GB2312" w:eastAsia="仿宋_GB2312"/>
          <w:sz w:val="32"/>
          <w:szCs w:val="32"/>
        </w:rPr>
        <w:t>合理</w:t>
      </w:r>
      <w:r>
        <w:rPr>
          <w:rFonts w:ascii="仿宋_GB2312" w:eastAsia="仿宋_GB2312"/>
          <w:sz w:val="32"/>
          <w:szCs w:val="32"/>
        </w:rPr>
        <w:t>；</w:t>
      </w:r>
      <w:r>
        <w:rPr>
          <w:rFonts w:hint="eastAsia" w:asciiTheme="majorEastAsia" w:hAnsiTheme="majorEastAsia" w:eastAsiaTheme="majorEastAsia" w:cstheme="majorEastAsia"/>
          <w:color w:val="494949"/>
          <w:kern w:val="0"/>
          <w:sz w:val="32"/>
          <w:szCs w:val="32"/>
          <w:shd w:val="clear" w:fill="FFFFFF"/>
          <w:lang w:val="en-US" w:eastAsia="zh-CN" w:bidi="ar"/>
        </w:rPr>
        <w:t>必须满足“种、养、加、吃、住、行、游、购、娱、教”10个功能中的7个以上功能。</w:t>
      </w:r>
    </w:p>
    <w:p>
      <w:pPr>
        <w:spacing w:line="360" w:lineRule="auto"/>
        <w:ind w:left="479" w:leftChars="228"/>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4.申报主体</w:t>
      </w:r>
      <w:r>
        <w:rPr>
          <w:rFonts w:ascii="仿宋_GB2312" w:eastAsia="仿宋_GB2312"/>
          <w:sz w:val="32"/>
          <w:szCs w:val="32"/>
        </w:rPr>
        <w:t>年度投资总额不低于</w:t>
      </w:r>
      <w:r>
        <w:rPr>
          <w:rFonts w:hint="eastAsia" w:ascii="仿宋_GB2312" w:eastAsia="仿宋_GB2312"/>
          <w:sz w:val="32"/>
          <w:szCs w:val="32"/>
        </w:rPr>
        <w:t>20</w:t>
      </w:r>
      <w:r>
        <w:rPr>
          <w:rFonts w:ascii="仿宋_GB2312" w:eastAsia="仿宋_GB2312"/>
          <w:sz w:val="32"/>
          <w:szCs w:val="32"/>
        </w:rPr>
        <w:t>0万元</w:t>
      </w:r>
      <w:r>
        <w:rPr>
          <w:rFonts w:hint="eastAsia" w:ascii="仿宋_GB2312" w:eastAsia="仿宋_GB2312"/>
          <w:sz w:val="32"/>
          <w:szCs w:val="32"/>
        </w:rPr>
        <w:t>。</w:t>
      </w:r>
    </w:p>
    <w:p>
      <w:pPr>
        <w:pStyle w:val="7"/>
        <w:numPr>
          <w:ilvl w:val="0"/>
          <w:numId w:val="1"/>
        </w:numPr>
        <w:spacing w:line="360" w:lineRule="auto"/>
        <w:ind w:firstLineChars="0"/>
        <w:rPr>
          <w:rFonts w:ascii="黑体" w:eastAsia="黑体"/>
          <w:b/>
          <w:sz w:val="32"/>
          <w:szCs w:val="32"/>
        </w:rPr>
      </w:pPr>
      <w:r>
        <w:rPr>
          <w:rFonts w:hint="eastAsia" w:ascii="黑体" w:eastAsia="黑体"/>
          <w:b/>
          <w:sz w:val="32"/>
          <w:szCs w:val="32"/>
        </w:rPr>
        <w:t>申报要求</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1.2017年1月开始建设且未获得过各级财政部门相同项目扶持的；</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2.较大规模同一项目区内未获得财政部门扶持的；</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3.申报前三年没有严重违法违纪行为或被政府相关部门处理处罚记录；</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4.曾获得过各级财政扶持的，项目已经完成验收，无骗取、贪污、挪用或严重浪费等不良记录；</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5.对曾获得各级财政扶持项目，无故未完成项目验收的，原则上不受理。</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6.申报单位自觉接受农业部门的业务指导，配合完成农产品安全等方面的工作。</w:t>
      </w:r>
    </w:p>
    <w:p>
      <w:pPr>
        <w:spacing w:line="360" w:lineRule="auto"/>
        <w:ind w:firstLine="643" w:firstLineChars="200"/>
        <w:rPr>
          <w:rFonts w:ascii="黑体" w:eastAsia="黑体"/>
          <w:b/>
          <w:sz w:val="32"/>
          <w:szCs w:val="32"/>
        </w:rPr>
      </w:pPr>
      <w:r>
        <w:rPr>
          <w:rFonts w:hint="eastAsia" w:ascii="黑体" w:eastAsia="黑体"/>
          <w:b/>
          <w:sz w:val="32"/>
          <w:szCs w:val="32"/>
        </w:rPr>
        <w:t>四、补助标准及建设内容</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项目计划扶持一个农业综合体建设项目，主要用于建设现代农业一、二、三产业融合现代农业综合体，资金用于综合体的设备及基础设施建设。项目采取先建后补方式补助，项目总投资不少于200万元，</w:t>
      </w:r>
      <w:r>
        <w:rPr>
          <w:rFonts w:hint="eastAsia" w:ascii="仿宋_GB2312" w:hAnsi="仿宋_GB2312" w:eastAsia="仿宋_GB2312" w:cs="仿宋_GB2312"/>
          <w:sz w:val="32"/>
          <w:szCs w:val="32"/>
        </w:rPr>
        <w:t>其中财政补助资金50万元</w:t>
      </w:r>
      <w:r>
        <w:rPr>
          <w:rFonts w:hint="eastAsia" w:ascii="仿宋_GB2312" w:eastAsia="仿宋_GB2312"/>
          <w:sz w:val="32"/>
          <w:szCs w:val="32"/>
        </w:rPr>
        <w:t>。</w:t>
      </w:r>
    </w:p>
    <w:p>
      <w:pPr>
        <w:spacing w:line="360" w:lineRule="auto"/>
        <w:ind w:firstLine="480" w:firstLineChars="150"/>
        <w:jc w:val="left"/>
        <w:rPr>
          <w:rFonts w:ascii="仿宋_GB2312" w:eastAsia="仿宋_GB2312"/>
          <w:sz w:val="32"/>
          <w:szCs w:val="32"/>
        </w:rPr>
      </w:pPr>
      <w:r>
        <w:rPr>
          <w:rFonts w:hint="eastAsia" w:ascii="仿宋_GB2312" w:hAnsi="仿宋_GB2312" w:eastAsia="仿宋_GB2312" w:cs="仿宋_GB2312"/>
          <w:sz w:val="32"/>
          <w:szCs w:val="32"/>
        </w:rPr>
        <w:t>通过</w:t>
      </w:r>
      <w:r>
        <w:rPr>
          <w:rFonts w:hint="eastAsia" w:ascii="仿宋_GB2312" w:eastAsia="仿宋_GB2312"/>
          <w:sz w:val="32"/>
          <w:szCs w:val="32"/>
        </w:rPr>
        <w:t>农业综合体项目</w:t>
      </w:r>
      <w:r>
        <w:rPr>
          <w:rFonts w:hint="eastAsia" w:ascii="仿宋_GB2312" w:hAnsi="仿宋_GB2312" w:eastAsia="仿宋_GB2312" w:cs="仿宋_GB2312"/>
          <w:sz w:val="32"/>
          <w:szCs w:val="32"/>
        </w:rPr>
        <w:t>的建设，转变农业发展方式，提升我市特色农产品资源，拟将现代农业生产、农产品加工转型升级、休闲农业和乡村旅游提升工程结合在一起，打造一二三产融合平台，争创高水平的国家级、综合型现代农业综合体，加快现代农业产业园建设，推进农业供给侧结构性改革，加快我市农业强市建设。</w:t>
      </w:r>
    </w:p>
    <w:p>
      <w:pPr>
        <w:spacing w:line="360" w:lineRule="auto"/>
        <w:ind w:firstLine="643" w:firstLineChars="200"/>
        <w:rPr>
          <w:rFonts w:ascii="黑体" w:eastAsia="黑体"/>
          <w:b/>
          <w:sz w:val="32"/>
          <w:szCs w:val="32"/>
        </w:rPr>
      </w:pPr>
      <w:r>
        <w:rPr>
          <w:rFonts w:hint="eastAsia" w:ascii="黑体" w:eastAsia="黑体"/>
          <w:b/>
          <w:sz w:val="32"/>
          <w:szCs w:val="32"/>
        </w:rPr>
        <w:t>五、申报程序和有关要求</w:t>
      </w:r>
    </w:p>
    <w:p>
      <w:pPr>
        <w:numPr>
          <w:ilvl w:val="0"/>
          <w:numId w:val="2"/>
        </w:numPr>
        <w:spacing w:line="360" w:lineRule="auto"/>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申报程序</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实行逐级申报制度。项目申报单位认真编制项目申报材料，由所在镇（街）审核后，上报市农业局。市农业局组织对项目申报材料进行集中评审，按照竞争性分配的原则确定项目承担单位。</w:t>
      </w:r>
    </w:p>
    <w:p>
      <w:pPr>
        <w:numPr>
          <w:ilvl w:val="0"/>
          <w:numId w:val="2"/>
        </w:numPr>
        <w:spacing w:line="360" w:lineRule="auto"/>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材料受理</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纸质申报材料连同请示文件，于2017年10月2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日前一式五份报</w:t>
      </w:r>
      <w:r>
        <w:rPr>
          <w:rFonts w:hint="eastAsia" w:ascii="仿宋_GB2312" w:hAnsi="仿宋_GB2312" w:eastAsia="仿宋_GB2312" w:cs="仿宋_GB2312"/>
          <w:sz w:val="32"/>
          <w:szCs w:val="32"/>
          <w:lang w:eastAsia="zh-CN"/>
        </w:rPr>
        <w:t>开</w:t>
      </w:r>
      <w:r>
        <w:rPr>
          <w:rFonts w:hint="eastAsia" w:ascii="仿宋_GB2312" w:hAnsi="仿宋_GB2312" w:eastAsia="仿宋_GB2312" w:cs="仿宋_GB2312"/>
          <w:sz w:val="32"/>
          <w:szCs w:val="32"/>
        </w:rPr>
        <w:t>平市农业局</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管股（逾期不受理）。同时报送Word文档电子版一份。</w:t>
      </w:r>
    </w:p>
    <w:p>
      <w:pPr>
        <w:numPr>
          <w:ilvl w:val="0"/>
          <w:numId w:val="2"/>
        </w:numPr>
        <w:spacing w:line="360" w:lineRule="auto"/>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纸质申报材料要求</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申报材料包括封面、请示文件、项目申报书、项目实施方案、申报单位营业执照复印件、上年末及上月的会计报表（家庭农场、种植大户除外）及其他佐证材料。</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申报材料要求一式五份，统一用A4纸打印或复印，按上述顺序，装订成册。</w:t>
      </w:r>
    </w:p>
    <w:p>
      <w:pPr>
        <w:spacing w:line="360" w:lineRule="auto"/>
        <w:ind w:firstLine="643" w:firstLineChars="200"/>
        <w:rPr>
          <w:rFonts w:ascii="黑体" w:eastAsia="黑体"/>
          <w:b/>
          <w:sz w:val="32"/>
          <w:szCs w:val="32"/>
        </w:rPr>
      </w:pPr>
      <w:r>
        <w:rPr>
          <w:rFonts w:hint="eastAsia" w:ascii="黑体" w:eastAsia="黑体"/>
          <w:b/>
          <w:sz w:val="32"/>
          <w:szCs w:val="32"/>
        </w:rPr>
        <w:t>六、项目管理、验收</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项目申报批复后，未开始建设的应立即组织实施，已建设中的要抓紧实施。并于2018年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月底前向农业主管部门申请验收。</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严格按照项目建设内容和资金安排组织实施和验收，实现项目绩效目标。</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项目总投入资金严格国家财税管理的有关规定，主动接受农业、财政部门和审计部门等相关单位的监督。设立转账管理，确保专款专用、报账凭证真实、完整、有效。</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此项资金拨付管理。</w:t>
      </w:r>
      <w:r>
        <w:rPr>
          <w:rFonts w:hint="eastAsia" w:ascii="仿宋_GB2312" w:hAnsi="仿宋_GB2312" w:eastAsia="仿宋_GB2312" w:cs="仿宋_GB2312"/>
          <w:sz w:val="32"/>
          <w:szCs w:val="32"/>
          <w:lang w:val="en-US" w:eastAsia="zh-CN"/>
        </w:rPr>
        <w:t>项目实行财政报账制管理，</w:t>
      </w:r>
      <w:r>
        <w:rPr>
          <w:rFonts w:hint="eastAsia" w:ascii="仿宋_GB2312" w:hAnsi="仿宋_GB2312" w:eastAsia="仿宋_GB2312" w:cs="仿宋_GB2312"/>
          <w:sz w:val="32"/>
          <w:szCs w:val="32"/>
        </w:rPr>
        <w:t>项目验收通过后由财政部门按照先建后补方式一次性支付到项目承担单位。</w:t>
      </w:r>
    </w:p>
    <w:p>
      <w:pPr>
        <w:spacing w:line="360" w:lineRule="auto"/>
        <w:ind w:firstLine="643" w:firstLineChars="200"/>
        <w:rPr>
          <w:rFonts w:ascii="黑体" w:eastAsia="黑体"/>
          <w:b/>
          <w:sz w:val="32"/>
          <w:szCs w:val="32"/>
        </w:rPr>
      </w:pPr>
      <w:r>
        <w:rPr>
          <w:rFonts w:hint="eastAsia" w:ascii="黑体" w:eastAsia="黑体"/>
          <w:b/>
          <w:sz w:val="32"/>
          <w:szCs w:val="32"/>
        </w:rPr>
        <w:t>七、其他</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本指南由市农业局负责解释。未尽事宜，请与市农业局联系</w:t>
      </w:r>
      <w:r>
        <w:rPr>
          <w:rFonts w:hint="eastAsia" w:ascii="仿宋_GB2312" w:eastAsia="仿宋_GB2312"/>
          <w:sz w:val="32"/>
          <w:szCs w:val="32"/>
          <w:lang w:eastAsia="zh-CN"/>
        </w:rPr>
        <w:t>，</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谢素庭</w:t>
      </w:r>
      <w:r>
        <w:rPr>
          <w:rFonts w:hint="eastAsia" w:ascii="仿宋_GB2312" w:eastAsia="仿宋_GB2312"/>
          <w:sz w:val="32"/>
          <w:szCs w:val="32"/>
        </w:rPr>
        <w:t>，联系电话（传真）：</w:t>
      </w:r>
      <w:r>
        <w:rPr>
          <w:rFonts w:hint="eastAsia" w:ascii="仿宋_GB2312" w:eastAsia="仿宋_GB2312"/>
          <w:sz w:val="32"/>
          <w:szCs w:val="32"/>
          <w:lang w:val="en-US" w:eastAsia="zh-CN"/>
        </w:rPr>
        <w:t>2268379</w:t>
      </w:r>
      <w:r>
        <w:rPr>
          <w:rFonts w:hint="eastAsia" w:ascii="仿宋_GB2312" w:eastAsia="仿宋_GB2312"/>
          <w:sz w:val="32"/>
          <w:szCs w:val="32"/>
        </w:rPr>
        <w:t>。</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spacing w:line="360" w:lineRule="auto"/>
        <w:jc w:val="center"/>
        <w:rPr>
          <w:rFonts w:ascii="宋体" w:hAnsi="宋体" w:cs="宋体"/>
          <w:b/>
          <w:sz w:val="44"/>
          <w:szCs w:val="44"/>
        </w:rPr>
      </w:pPr>
      <w:r>
        <w:rPr>
          <w:rFonts w:hint="eastAsia" w:ascii="宋体" w:hAnsi="宋体" w:cs="宋体"/>
          <w:b/>
          <w:sz w:val="44"/>
          <w:szCs w:val="44"/>
        </w:rPr>
        <w:t>2017年</w:t>
      </w:r>
      <w:r>
        <w:rPr>
          <w:rFonts w:hint="eastAsia" w:ascii="宋体" w:hAnsi="宋体" w:cs="宋体"/>
          <w:b/>
          <w:sz w:val="44"/>
          <w:szCs w:val="44"/>
          <w:lang w:eastAsia="zh-CN"/>
        </w:rPr>
        <w:t>开</w:t>
      </w:r>
      <w:r>
        <w:rPr>
          <w:rFonts w:hint="eastAsia" w:ascii="宋体" w:hAnsi="宋体" w:cs="宋体"/>
          <w:b/>
          <w:sz w:val="44"/>
          <w:szCs w:val="44"/>
        </w:rPr>
        <w:t>平市农业综合体</w:t>
      </w:r>
      <w:r>
        <w:rPr>
          <w:rFonts w:hint="eastAsia" w:ascii="宋体" w:hAnsi="宋体" w:cs="宋体"/>
          <w:b/>
          <w:sz w:val="44"/>
          <w:szCs w:val="44"/>
          <w:lang w:val="en-US" w:eastAsia="zh-CN"/>
        </w:rPr>
        <w:t>建设</w:t>
      </w:r>
      <w:r>
        <w:rPr>
          <w:rFonts w:hint="eastAsia" w:ascii="宋体" w:hAnsi="宋体" w:cs="宋体"/>
          <w:b/>
          <w:sz w:val="44"/>
          <w:szCs w:val="44"/>
        </w:rPr>
        <w:t>项目</w:t>
      </w:r>
    </w:p>
    <w:p>
      <w:pPr>
        <w:spacing w:line="360" w:lineRule="auto"/>
        <w:jc w:val="center"/>
        <w:rPr>
          <w:rFonts w:ascii="宋体" w:hAnsi="宋体" w:cs="宋体"/>
          <w:b/>
          <w:sz w:val="44"/>
          <w:szCs w:val="44"/>
        </w:rPr>
      </w:pPr>
      <w:r>
        <w:rPr>
          <w:rFonts w:hint="eastAsia" w:ascii="宋体" w:hAnsi="宋体" w:cs="宋体"/>
          <w:b/>
          <w:sz w:val="44"/>
          <w:szCs w:val="44"/>
        </w:rPr>
        <w:t xml:space="preserve"> 申 报 书</w:t>
      </w:r>
    </w:p>
    <w:p>
      <w:pPr>
        <w:adjustRightInd w:val="0"/>
        <w:spacing w:line="360" w:lineRule="auto"/>
        <w:jc w:val="center"/>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项目名称：</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申报单位（公章）：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通讯地址：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 系 人：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申报日期：</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日</w:t>
      </w: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开</w:t>
      </w:r>
      <w:r>
        <w:rPr>
          <w:rFonts w:hint="eastAsia" w:ascii="仿宋_GB2312" w:hAnsi="仿宋_GB2312" w:eastAsia="仿宋_GB2312" w:cs="仿宋_GB2312"/>
          <w:b/>
          <w:sz w:val="32"/>
          <w:szCs w:val="32"/>
        </w:rPr>
        <w:t>平市农业局编制</w:t>
      </w:r>
    </w:p>
    <w:p>
      <w:pPr>
        <w:adjustRightInd w:val="0"/>
        <w:spacing w:line="360" w:lineRule="auto"/>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2017年</w:t>
      </w:r>
      <w:r>
        <w:rPr>
          <w:rFonts w:hint="eastAsia" w:ascii="仿宋_GB2312" w:hAnsi="仿宋_GB2312" w:eastAsia="仿宋_GB2312" w:cs="仿宋_GB2312"/>
          <w:b/>
          <w:sz w:val="32"/>
          <w:szCs w:val="32"/>
          <w:lang w:val="en-US" w:eastAsia="zh-CN"/>
        </w:rPr>
        <w:t>10</w:t>
      </w:r>
      <w:r>
        <w:rPr>
          <w:rFonts w:hint="eastAsia" w:ascii="仿宋_GB2312" w:hAnsi="仿宋_GB2312" w:eastAsia="仿宋_GB2312" w:cs="仿宋_GB2312"/>
          <w:b/>
          <w:sz w:val="32"/>
          <w:szCs w:val="32"/>
        </w:rPr>
        <w:t xml:space="preserve">月 </w:t>
      </w:r>
    </w:p>
    <w:tbl>
      <w:tblPr>
        <w:tblStyle w:val="5"/>
        <w:tblW w:w="92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35" w:hRule="atLeast"/>
          <w:jc w:val="center"/>
        </w:trPr>
        <w:tc>
          <w:tcPr>
            <w:tcW w:w="9212"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项目背景、申报单位情况及有利条件</w:t>
            </w:r>
          </w:p>
          <w:p>
            <w:pPr>
              <w:spacing w:line="360" w:lineRule="auto"/>
              <w:ind w:firstLine="640" w:firstLineChars="200"/>
              <w:rPr>
                <w:rFonts w:ascii="仿宋_GB2312" w:hAnsi="仿宋_GB2312" w:eastAsia="仿宋_GB2312" w:cs="仿宋_GB2312"/>
                <w:sz w:val="32"/>
                <w:szCs w:val="32"/>
              </w:rPr>
            </w:pPr>
          </w:p>
        </w:tc>
      </w:tr>
    </w:tbl>
    <w:p>
      <w:pPr>
        <w:widowControl/>
        <w:spacing w:line="360" w:lineRule="auto"/>
        <w:jc w:val="left"/>
        <w:rPr>
          <w:rFonts w:ascii="仿宋_GB2312" w:hAnsi="仿宋_GB2312" w:eastAsia="仿宋_GB2312" w:cs="仿宋_GB2312"/>
          <w:b/>
          <w:snapToGrid w:val="0"/>
          <w:sz w:val="32"/>
          <w:szCs w:val="32"/>
        </w:rPr>
        <w:sectPr>
          <w:footerReference r:id="rId3" w:type="default"/>
          <w:footerReference r:id="rId4" w:type="even"/>
          <w:pgSz w:w="11906" w:h="16838"/>
          <w:pgMar w:top="1304" w:right="1361" w:bottom="1304" w:left="1701" w:header="851" w:footer="992" w:gutter="0"/>
          <w:cols w:space="720" w:num="1"/>
        </w:sectPr>
      </w:pPr>
    </w:p>
    <w:tbl>
      <w:tblPr>
        <w:tblStyle w:val="5"/>
        <w:tblW w:w="87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09" w:hRule="atLeast"/>
          <w:jc w:val="center"/>
        </w:trPr>
        <w:tc>
          <w:tcPr>
            <w:tcW w:w="8765"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项目内容及进度安排</w:t>
            </w:r>
          </w:p>
          <w:p>
            <w:pPr>
              <w:spacing w:line="360" w:lineRule="auto"/>
              <w:ind w:firstLine="645"/>
              <w:rPr>
                <w:rFonts w:ascii="仿宋_GB2312" w:hAnsi="仿宋_GB2312" w:eastAsia="仿宋_GB2312" w:cs="仿宋_GB2312"/>
                <w:sz w:val="32"/>
                <w:szCs w:val="32"/>
              </w:rPr>
            </w:pPr>
          </w:p>
        </w:tc>
      </w:tr>
    </w:tbl>
    <w:p>
      <w:pPr>
        <w:widowControl/>
        <w:spacing w:line="360" w:lineRule="auto"/>
        <w:jc w:val="left"/>
        <w:rPr>
          <w:rFonts w:ascii="仿宋_GB2312" w:hAnsi="仿宋_GB2312" w:eastAsia="仿宋_GB2312" w:cs="仿宋_GB2312"/>
          <w:b/>
          <w:snapToGrid w:val="0"/>
          <w:sz w:val="32"/>
          <w:szCs w:val="32"/>
        </w:rPr>
        <w:sectPr>
          <w:pgSz w:w="11906" w:h="16838"/>
          <w:pgMar w:top="1871" w:right="1361" w:bottom="1871" w:left="1701" w:header="0" w:footer="1418" w:gutter="0"/>
          <w:cols w:space="720" w:num="1"/>
        </w:sectPr>
      </w:pPr>
    </w:p>
    <w:tbl>
      <w:tblPr>
        <w:tblStyle w:val="5"/>
        <w:tblW w:w="88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0" w:hRule="atLeast"/>
          <w:jc w:val="center"/>
        </w:trPr>
        <w:tc>
          <w:tcPr>
            <w:tcW w:w="8889"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绩效目标</w:t>
            </w:r>
          </w:p>
          <w:p>
            <w:pPr>
              <w:spacing w:line="360" w:lineRule="auto"/>
              <w:ind w:firstLine="646"/>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9" w:hRule="atLeast"/>
          <w:jc w:val="center"/>
        </w:trPr>
        <w:tc>
          <w:tcPr>
            <w:tcW w:w="8889"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经费预算</w:t>
            </w:r>
          </w:p>
          <w:p>
            <w:pPr>
              <w:adjustRightInd w:val="0"/>
              <w:spacing w:line="360" w:lineRule="auto"/>
              <w:ind w:firstLine="645"/>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5" w:hRule="atLeast"/>
          <w:jc w:val="center"/>
        </w:trPr>
        <w:tc>
          <w:tcPr>
            <w:tcW w:w="8889"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组织管理机制</w:t>
            </w:r>
          </w:p>
          <w:p>
            <w:pPr>
              <w:adjustRightInd w:val="0"/>
              <w:spacing w:line="360" w:lineRule="auto"/>
              <w:ind w:firstLine="645"/>
              <w:rPr>
                <w:rFonts w:ascii="仿宋_GB2312" w:hAnsi="仿宋_GB2312" w:eastAsia="仿宋_GB2312" w:cs="仿宋_GB2312"/>
                <w:sz w:val="32"/>
                <w:szCs w:val="32"/>
              </w:rPr>
            </w:pPr>
          </w:p>
        </w:tc>
      </w:tr>
    </w:tbl>
    <w:tbl>
      <w:tblPr>
        <w:tblStyle w:val="5"/>
        <w:tblpPr w:leftFromText="180" w:rightFromText="180" w:vertAnchor="page" w:horzAnchor="page" w:tblpXSpec="center" w:tblpY="1617"/>
        <w:tblW w:w="89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4" w:hRule="atLeast"/>
          <w:jc w:val="center"/>
        </w:trPr>
        <w:tc>
          <w:tcPr>
            <w:tcW w:w="8928"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申报单位意见：</w:t>
            </w:r>
          </w:p>
          <w:p>
            <w:pPr>
              <w:spacing w:line="360" w:lineRule="auto"/>
              <w:jc w:val="left"/>
              <w:rPr>
                <w:rFonts w:ascii="仿宋_GB2312" w:hAnsi="仿宋_GB2312" w:eastAsia="仿宋_GB2312" w:cs="仿宋_GB2312"/>
                <w:sz w:val="32"/>
                <w:szCs w:val="32"/>
              </w:rPr>
            </w:pPr>
          </w:p>
          <w:p>
            <w:pPr>
              <w:spacing w:line="360" w:lineRule="auto"/>
              <w:jc w:val="left"/>
              <w:rPr>
                <w:rFonts w:ascii="仿宋_GB2312" w:hAnsi="仿宋_GB2312" w:eastAsia="仿宋_GB2312" w:cs="仿宋_GB2312"/>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                   （单位盖章）</w:t>
            </w:r>
          </w:p>
          <w:p>
            <w:pPr>
              <w:spacing w:line="360" w:lineRule="auto"/>
              <w:ind w:firstLine="406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1" w:hRule="atLeast"/>
          <w:jc w:val="center"/>
        </w:trPr>
        <w:tc>
          <w:tcPr>
            <w:tcW w:w="8928"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镇（街）意见：</w:t>
            </w:r>
          </w:p>
          <w:p>
            <w:pPr>
              <w:spacing w:line="360" w:lineRule="auto"/>
              <w:rPr>
                <w:rFonts w:ascii="仿宋_GB2312" w:hAnsi="仿宋_GB2312" w:eastAsia="仿宋_GB2312" w:cs="仿宋_GB2312"/>
                <w:b/>
                <w:sz w:val="32"/>
                <w:szCs w:val="32"/>
              </w:rPr>
            </w:pPr>
          </w:p>
          <w:p>
            <w:pPr>
              <w:spacing w:line="360" w:lineRule="auto"/>
              <w:rPr>
                <w:rFonts w:ascii="仿宋_GB2312" w:hAnsi="仿宋_GB2312" w:eastAsia="仿宋_GB2312" w:cs="仿宋_GB2312"/>
                <w:b/>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 xml:space="preserve">      （单位盖章）</w:t>
            </w:r>
          </w:p>
          <w:p>
            <w:pPr>
              <w:spacing w:line="360" w:lineRule="auto"/>
              <w:jc w:val="left"/>
              <w:rPr>
                <w:rFonts w:ascii="仿宋_GB2312" w:hAnsi="仿宋_GB2312" w:eastAsia="仿宋_GB2312" w:cs="仿宋_GB2312"/>
                <w:b/>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1" w:hRule="atLeast"/>
          <w:jc w:val="center"/>
        </w:trPr>
        <w:tc>
          <w:tcPr>
            <w:tcW w:w="8928"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市农业部门意见：</w:t>
            </w:r>
          </w:p>
          <w:p>
            <w:pPr>
              <w:spacing w:line="360" w:lineRule="auto"/>
              <w:rPr>
                <w:rFonts w:ascii="仿宋_GB2312" w:hAnsi="仿宋_GB2312" w:eastAsia="仿宋_GB2312" w:cs="仿宋_GB2312"/>
                <w:b/>
                <w:sz w:val="32"/>
                <w:szCs w:val="32"/>
              </w:rPr>
            </w:pPr>
          </w:p>
          <w:p>
            <w:pPr>
              <w:spacing w:line="360" w:lineRule="auto"/>
              <w:rPr>
                <w:rFonts w:ascii="仿宋_GB2312" w:hAnsi="仿宋_GB2312" w:eastAsia="仿宋_GB2312" w:cs="仿宋_GB2312"/>
                <w:b/>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 xml:space="preserve">       （单位盖章）</w:t>
            </w:r>
          </w:p>
          <w:p>
            <w:pPr>
              <w:spacing w:line="360" w:lineRule="auto"/>
              <w:rPr>
                <w:rFonts w:ascii="仿宋_GB2312" w:hAnsi="仿宋_GB2312" w:eastAsia="仿宋_GB2312" w:cs="仿宋_GB2312"/>
                <w:b/>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1" w:hRule="atLeast"/>
          <w:jc w:val="center"/>
        </w:trPr>
        <w:tc>
          <w:tcPr>
            <w:tcW w:w="8928" w:type="dxa"/>
            <w:tcBorders>
              <w:top w:val="single" w:color="auto" w:sz="4" w:space="0"/>
              <w:left w:val="single" w:color="auto" w:sz="4" w:space="0"/>
              <w:bottom w:val="single" w:color="auto" w:sz="4" w:space="0"/>
              <w:right w:val="single" w:color="auto" w:sz="4" w:space="0"/>
            </w:tcBorders>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市财政部门意见：</w:t>
            </w:r>
          </w:p>
          <w:p>
            <w:pPr>
              <w:spacing w:line="360" w:lineRule="auto"/>
              <w:rPr>
                <w:rFonts w:ascii="仿宋_GB2312" w:hAnsi="仿宋_GB2312" w:eastAsia="仿宋_GB2312" w:cs="仿宋_GB2312"/>
                <w:b/>
                <w:sz w:val="32"/>
                <w:szCs w:val="32"/>
              </w:rPr>
            </w:pPr>
          </w:p>
          <w:p>
            <w:pPr>
              <w:spacing w:line="360" w:lineRule="auto"/>
              <w:rPr>
                <w:rFonts w:ascii="仿宋_GB2312" w:hAnsi="仿宋_GB2312" w:eastAsia="仿宋_GB2312" w:cs="仿宋_GB2312"/>
                <w:b/>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 xml:space="preserve">       （单位盖章）</w:t>
            </w:r>
          </w:p>
          <w:p>
            <w:pPr>
              <w:spacing w:line="360" w:lineRule="auto"/>
              <w:rPr>
                <w:rFonts w:ascii="仿宋_GB2312" w:hAnsi="仿宋_GB2312" w:eastAsia="仿宋_GB2312" w:cs="仿宋_GB2312"/>
                <w:b/>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年     月     日</w:t>
            </w:r>
          </w:p>
        </w:tc>
      </w:tr>
    </w:tbl>
    <w:p>
      <w:pPr>
        <w:ind w:firstLine="420" w:firstLineChars="200"/>
      </w:pP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decorative"/>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宋体"/>
    <w:panose1 w:val="02010601030101010101"/>
    <w:charset w:val="86"/>
    <w:family w:val="auto"/>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宋体-18030">
    <w:altName w:val="微软雅黑"/>
    <w:panose1 w:val="02010609060101010101"/>
    <w:charset w:val="86"/>
    <w:family w:val="modern"/>
    <w:pitch w:val="default"/>
    <w:sig w:usb0="00000000" w:usb1="00000000" w:usb2="0000005E" w:usb3="00000000" w:csb0="00040001"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Calibri Light">
    <w:altName w:val="Calibri"/>
    <w:panose1 w:val="020F0302020204030204"/>
    <w:charset w:val="00"/>
    <w:family w:val="auto"/>
    <w:pitch w:val="default"/>
    <w:sig w:usb0="00000000" w:usb1="00000000" w:usb2="00000000" w:usb3="00000000" w:csb0="2000019F" w:csb1="00000000"/>
  </w:font>
  <w:font w:name="微软雅黑 Light">
    <w:altName w:val="黑体"/>
    <w:panose1 w:val="020B0502040204020203"/>
    <w:charset w:val="86"/>
    <w:family w:val="auto"/>
    <w:pitch w:val="default"/>
    <w:sig w:usb0="00000000" w:usb1="00000000" w:usb2="00000016" w:usb3="00000000" w:csb0="0004000F" w:csb1="00000000"/>
  </w:font>
  <w:font w:name="方正兰亭超细黑简体">
    <w:panose1 w:val="02000000000000000000"/>
    <w:charset w:val="86"/>
    <w:family w:val="auto"/>
    <w:pitch w:val="default"/>
    <w:sig w:usb0="00000001" w:usb1="08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Malgun Gothic">
    <w:panose1 w:val="020B0503020000020004"/>
    <w:charset w:val="81"/>
    <w:family w:val="auto"/>
    <w:pitch w:val="default"/>
    <w:sig w:usb0="900002AF" w:usb1="01D77CFB" w:usb2="00000012" w:usb3="00000000" w:csb0="00080001" w:csb1="00000000"/>
  </w:font>
  <w:font w:name="Malgun Gothic Semilight">
    <w:altName w:val="宋体"/>
    <w:panose1 w:val="020B0502040204020203"/>
    <w:charset w:val="86"/>
    <w:family w:val="auto"/>
    <w:pitch w:val="default"/>
    <w:sig w:usb0="00000000" w:usb1="00000000" w:usb2="00000012" w:usb3="00000000" w:csb0="203E01BD" w:csb1="D7FF0000"/>
  </w:font>
  <w:font w:name="Tahoma">
    <w:panose1 w:val="020B0604030504040204"/>
    <w:charset w:val="86"/>
    <w:family w:val="auto"/>
    <w:pitch w:val="default"/>
    <w:sig w:usb0="E1002EFF" w:usb1="C000605B" w:usb2="00000029" w:usb3="00000000" w:csb0="200101FF" w:csb1="20280000"/>
  </w:font>
  <w:font w:name="方正仿宋简体">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宋体-PUA">
    <w:altName w:val="宋体"/>
    <w:panose1 w:val="02010600030101010101"/>
    <w:charset w:val="86"/>
    <w:family w:val="auto"/>
    <w:pitch w:val="default"/>
    <w:sig w:usb0="00000000" w:usb1="00000000" w:usb2="00000000" w:usb3="00000000" w:csb0="00040000" w:csb1="00000000"/>
  </w:font>
  <w:font w:name="@宋体">
    <w:panose1 w:val="02010600030101010101"/>
    <w:charset w:val="86"/>
    <w:family w:val="auto"/>
    <w:pitch w:val="default"/>
    <w:sig w:usb0="00000003" w:usb1="288F0000" w:usb2="00000006" w:usb3="00000000" w:csb0="00040001" w:csb1="00000000"/>
  </w:font>
  <w:font w:name="Cambria Math">
    <w:panose1 w:val="02040503050406030204"/>
    <w:charset w:val="00"/>
    <w:family w:val="auto"/>
    <w:pitch w:val="default"/>
    <w:sig w:usb0="E00002FF" w:usb1="42002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黑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宋体"/>
    <w:panose1 w:val="00000000000000000000"/>
    <w:charset w:val="86"/>
    <w:family w:val="auto"/>
    <w:pitch w:val="default"/>
    <w:sig w:usb0="00000000" w:usb1="00000000" w:usb2="00000010" w:usb3="00000000" w:csb0="00040000" w:csb1="00000000"/>
  </w:font>
  <w:font w:name="@方正小标宋简体">
    <w:altName w:val="宋体"/>
    <w:panose1 w:val="02010601030101010101"/>
    <w:charset w:val="86"/>
    <w:family w:val="auto"/>
    <w:pitch w:val="default"/>
    <w:sig w:usb0="00000000" w:usb1="0000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4B4A03"/>
    <w:multiLevelType w:val="multilevel"/>
    <w:tmpl w:val="4E4B4A03"/>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576750B8"/>
    <w:multiLevelType w:val="singleLevel"/>
    <w:tmpl w:val="576750B8"/>
    <w:lvl w:ilvl="0" w:tentative="0">
      <w:start w:val="1"/>
      <w:numFmt w:val="decimal"/>
      <w:suff w:val="nothing"/>
      <w:lvlText w:val="%1．"/>
      <w:lvlJc w:val="left"/>
      <w:pPr>
        <w:ind w:left="0" w:firstLine="400"/>
      </w:pPr>
      <w:rPr>
        <w:rFonts w:hint="default"/>
      </w:rPr>
    </w:lvl>
  </w:abstractNum>
  <w:abstractNum w:abstractNumId="2">
    <w:nsid w:val="57CA21A9"/>
    <w:multiLevelType w:val="singleLevel"/>
    <w:tmpl w:val="57CA21A9"/>
    <w:lvl w:ilvl="0" w:tentative="0">
      <w:start w:val="1"/>
      <w:numFmt w:val="chineseCounting"/>
      <w:suff w:val="nothing"/>
      <w:lvlText w:val="（%1）"/>
      <w:lvlJc w:val="left"/>
      <w:pPr>
        <w:ind w:left="567" w:firstLine="0"/>
      </w:pPr>
    </w:lvl>
  </w:abstractNum>
  <w:abstractNum w:abstractNumId="3">
    <w:nsid w:val="58A27F5E"/>
    <w:multiLevelType w:val="singleLevel"/>
    <w:tmpl w:val="58A27F5E"/>
    <w:lvl w:ilvl="0" w:tentative="0">
      <w:start w:val="1"/>
      <w:numFmt w:val="chineseCounting"/>
      <w:suff w:val="nothing"/>
      <w:lvlText w:val="%1、"/>
      <w:lvlJc w:val="left"/>
      <w:pPr>
        <w:ind w:left="289" w:firstLine="420"/>
      </w:pPr>
      <w:rPr>
        <w:rFonts w:hint="eastAsia"/>
      </w:rPr>
    </w:lvl>
  </w:abstractNum>
  <w:num w:numId="1">
    <w:abstractNumId w:val="0"/>
  </w:num>
  <w:num w:numId="2">
    <w:abstractNumId w:val="2"/>
    <w:lvlOverride w:ilvl="0">
      <w:startOverride w:val="1"/>
    </w:lvlOverride>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A61AC3"/>
    <w:rsid w:val="30A61A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 w:type="paragraph" w:customStyle="1" w:styleId="6">
    <w:name w:val="列出段落1"/>
    <w:basedOn w:val="1"/>
    <w:qFormat/>
    <w:uiPriority w:val="34"/>
    <w:pPr>
      <w:ind w:firstLine="420" w:firstLineChars="200"/>
    </w:pPr>
  </w:style>
  <w:style w:type="paragraph" w:customStyle="1"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2017-10-12T07:05:00Z</dcterms:created>
  <dc:creator>Administrator</dc:creator>
  <cp:lastModifiedBy>Administrator</cp:lastModifiedBy>
  <dcterms:modified xsi:type="dcterms:W3CDTF">2017-10-12T07:05:49Z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